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i w:val="0"/>
          <w:iCs w:val="0"/>
          <w:caps w:val="0"/>
          <w:spacing w:val="0"/>
          <w:sz w:val="28"/>
          <w:szCs w:val="28"/>
          <w:highlight w:val="none"/>
          <w:shd w:val="clear" w:color="auto" w:fill="FFFFFF"/>
          <w:lang w:eastAsia="zh-CN"/>
        </w:rPr>
      </w:pPr>
      <w:r>
        <w:rPr>
          <w:rFonts w:hint="eastAsia" w:ascii="宋体" w:hAnsi="宋体" w:eastAsia="宋体" w:cs="宋体"/>
          <w:b/>
          <w:bCs/>
          <w:i w:val="0"/>
          <w:iCs w:val="0"/>
          <w:caps w:val="0"/>
          <w:spacing w:val="0"/>
          <w:sz w:val="28"/>
          <w:szCs w:val="28"/>
          <w:highlight w:val="none"/>
          <w:shd w:val="clear" w:color="auto" w:fill="FFFFFF"/>
          <w:lang w:eastAsia="zh-CN"/>
        </w:rPr>
        <w:t xml:space="preserve">附件3 </w:t>
      </w:r>
      <w:r>
        <w:rPr>
          <w:rFonts w:hint="eastAsia" w:ascii="宋体" w:hAnsi="宋体" w:cs="宋体"/>
          <w:b/>
          <w:bCs/>
          <w:i w:val="0"/>
          <w:iCs w:val="0"/>
          <w:caps w:val="0"/>
          <w:spacing w:val="0"/>
          <w:sz w:val="28"/>
          <w:szCs w:val="28"/>
          <w:highlight w:val="none"/>
          <w:shd w:val="clear" w:color="auto" w:fill="FFFFFF"/>
          <w:lang w:eastAsia="zh-CN"/>
        </w:rPr>
        <w:t>：</w:t>
      </w:r>
      <w:bookmarkStart w:id="0" w:name="_GoBack"/>
      <w:bookmarkEnd w:id="0"/>
      <w:r>
        <w:rPr>
          <w:rFonts w:hint="eastAsia" w:ascii="宋体" w:hAnsi="宋体" w:eastAsia="宋体" w:cs="宋体"/>
          <w:b/>
          <w:bCs/>
          <w:i w:val="0"/>
          <w:iCs w:val="0"/>
          <w:caps w:val="0"/>
          <w:spacing w:val="0"/>
          <w:sz w:val="28"/>
          <w:szCs w:val="28"/>
          <w:highlight w:val="none"/>
          <w:shd w:val="clear" w:color="auto" w:fill="FFFFFF"/>
          <w:lang w:eastAsia="zh-CN"/>
        </w:rPr>
        <w:t>YJV22-4X120+1X70电缆技术要求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sz w:val="28"/>
          <w:szCs w:val="28"/>
          <w:highlight w:val="none"/>
        </w:rPr>
      </w:pPr>
      <w:r>
        <w:rPr>
          <w:rFonts w:hint="eastAsia" w:ascii="宋体" w:hAnsi="宋体" w:cs="宋体"/>
          <w:i w:val="0"/>
          <w:iCs w:val="0"/>
          <w:caps w:val="0"/>
          <w:spacing w:val="0"/>
          <w:sz w:val="28"/>
          <w:szCs w:val="28"/>
          <w:highlight w:val="none"/>
          <w:shd w:val="clear" w:color="auto" w:fill="FFFFFF"/>
          <w:lang w:val="en-US" w:eastAsia="zh-CN"/>
        </w:rPr>
        <w:t>1、</w:t>
      </w:r>
      <w:r>
        <w:rPr>
          <w:rFonts w:hint="eastAsia" w:ascii="宋体" w:hAnsi="宋体" w:eastAsia="宋体" w:cs="宋体"/>
          <w:i w:val="0"/>
          <w:iCs w:val="0"/>
          <w:caps w:val="0"/>
          <w:spacing w:val="0"/>
          <w:sz w:val="28"/>
          <w:szCs w:val="28"/>
          <w:highlight w:val="none"/>
          <w:shd w:val="clear" w:color="auto" w:fill="FFFFFF"/>
        </w:rPr>
        <w:t>电缆选型</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sz w:val="28"/>
          <w:szCs w:val="28"/>
          <w:highlight w:val="none"/>
          <w:lang w:eastAsia="zh-CN"/>
        </w:rPr>
      </w:pPr>
      <w:r>
        <w:rPr>
          <w:rFonts w:hint="eastAsia" w:ascii="宋体" w:hAnsi="宋体" w:eastAsia="宋体" w:cs="宋体"/>
          <w:i w:val="0"/>
          <w:iCs w:val="0"/>
          <w:caps w:val="0"/>
          <w:spacing w:val="0"/>
          <w:kern w:val="2"/>
          <w:sz w:val="28"/>
          <w:szCs w:val="28"/>
          <w:highlight w:val="none"/>
          <w:shd w:val="clear" w:color="auto" w:fill="FFFFFF"/>
          <w:lang w:val="en-US" w:eastAsia="zh-CN" w:bidi="ar-SA"/>
        </w:rPr>
        <w:t>额定电压：0.6/1kV 低压等级，适配箱变低压出线、配电支线</w:t>
      </w:r>
      <w:r>
        <w:rPr>
          <w:rFonts w:hint="eastAsia" w:ascii="宋体" w:hAnsi="宋体" w:eastAsia="宋体" w:cs="宋体"/>
          <w:i w:val="0"/>
          <w:iCs w:val="0"/>
          <w:caps w:val="0"/>
          <w:spacing w:val="0"/>
          <w:sz w:val="28"/>
          <w:szCs w:val="28"/>
          <w:highlight w:val="none"/>
          <w:shd w:val="clear" w:color="auto" w:fill="FFFFFF"/>
          <w:lang w:val="en-US" w:eastAsia="zh-CN"/>
        </w:rPr>
        <w:t>，需符合GB 50</w:t>
      </w:r>
      <w:r>
        <w:rPr>
          <w:rFonts w:hint="eastAsia" w:ascii="宋体" w:hAnsi="宋体" w:cs="宋体"/>
          <w:i w:val="0"/>
          <w:iCs w:val="0"/>
          <w:caps w:val="0"/>
          <w:spacing w:val="0"/>
          <w:sz w:val="28"/>
          <w:szCs w:val="28"/>
          <w:highlight w:val="none"/>
          <w:shd w:val="clear" w:color="auto" w:fill="FFFFFF"/>
          <w:lang w:val="en-US" w:eastAsia="zh-CN"/>
        </w:rPr>
        <w:t>2</w:t>
      </w:r>
      <w:r>
        <w:rPr>
          <w:rFonts w:hint="eastAsia" w:ascii="宋体" w:hAnsi="宋体" w:eastAsia="宋体" w:cs="宋体"/>
          <w:i w:val="0"/>
          <w:iCs w:val="0"/>
          <w:caps w:val="0"/>
          <w:spacing w:val="0"/>
          <w:sz w:val="28"/>
          <w:szCs w:val="28"/>
          <w:highlight w:val="none"/>
          <w:shd w:val="clear" w:color="auto" w:fill="FFFFFF"/>
          <w:lang w:val="en-US" w:eastAsia="zh-CN"/>
        </w:rPr>
        <w:t>17-2018《电力工程电缆设计标准》</w:t>
      </w:r>
      <w:r>
        <w:rPr>
          <w:rFonts w:hint="eastAsia" w:ascii="宋体" w:hAnsi="宋体" w:eastAsia="宋体" w:cs="宋体"/>
          <w:i w:val="0"/>
          <w:iCs w:val="0"/>
          <w:caps w:val="0"/>
          <w:spacing w:val="0"/>
          <w:kern w:val="2"/>
          <w:sz w:val="28"/>
          <w:szCs w:val="28"/>
          <w:highlight w:val="none"/>
          <w:shd w:val="clear" w:color="auto" w:fill="FFFFFF"/>
          <w:lang w:val="en-US" w:eastAsia="zh-CN" w:bidi="ar-SA"/>
        </w:rPr>
        <w:t>、GB 50054-2011《低压配电设计规范》</w:t>
      </w:r>
      <w:r>
        <w:rPr>
          <w:rFonts w:hint="eastAsia" w:ascii="宋体" w:hAnsi="宋体" w:cs="宋体"/>
          <w:i w:val="0"/>
          <w:iCs w:val="0"/>
          <w:caps w:val="0"/>
          <w:spacing w:val="0"/>
          <w:sz w:val="28"/>
          <w:szCs w:val="28"/>
          <w:highlight w:val="none"/>
          <w:shd w:val="clear" w:color="auto" w:fill="FFFFFF"/>
          <w:lang w:val="en-US" w:eastAsia="zh-CN"/>
        </w:rPr>
        <w:t>。</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i w:val="0"/>
          <w:iCs w:val="0"/>
          <w:caps w:val="0"/>
          <w:spacing w:val="0"/>
          <w:sz w:val="28"/>
          <w:szCs w:val="28"/>
          <w:highlight w:val="none"/>
          <w:shd w:val="clear" w:color="auto" w:fill="FFFFFF"/>
        </w:rPr>
        <w:t>导</w:t>
      </w:r>
      <w:r>
        <w:rPr>
          <w:rFonts w:hint="eastAsia" w:ascii="宋体" w:hAnsi="宋体" w:eastAsia="宋体" w:cs="宋体"/>
          <w:i w:val="0"/>
          <w:iCs w:val="0"/>
          <w:caps w:val="0"/>
          <w:color w:val="auto"/>
          <w:spacing w:val="0"/>
          <w:sz w:val="28"/>
          <w:szCs w:val="28"/>
          <w:highlight w:val="none"/>
          <w:shd w:val="clear" w:color="auto" w:fill="FFFFFF"/>
        </w:rPr>
        <w:t>体材质：</w:t>
      </w:r>
      <w:r>
        <w:rPr>
          <w:rFonts w:hint="eastAsia" w:ascii="宋体" w:hAnsi="宋体" w:eastAsia="宋体" w:cs="宋体"/>
          <w:i w:val="0"/>
          <w:iCs w:val="0"/>
          <w:caps w:val="0"/>
          <w:color w:val="auto"/>
          <w:spacing w:val="0"/>
          <w:kern w:val="2"/>
          <w:sz w:val="28"/>
          <w:szCs w:val="28"/>
          <w:highlight w:val="none"/>
          <w:shd w:val="clear" w:color="auto" w:fill="FFFFFF"/>
          <w:lang w:val="en-US" w:eastAsia="zh-CN" w:bidi="ar-SA"/>
        </w:rPr>
        <w:t>电缆采用紧压 T2 紫铜无氧铜导体，电气参数满足《工业与民用供配电设计手册》第四版参数要求，导体表面光洁无毛刺、无氧化，绞合紧密规整</w:t>
      </w:r>
      <w:r>
        <w:rPr>
          <w:rFonts w:hint="eastAsia" w:ascii="宋体" w:hAnsi="宋体" w:eastAsia="宋体" w:cs="宋体"/>
          <w:color w:val="auto"/>
          <w:sz w:val="28"/>
          <w:szCs w:val="28"/>
          <w:highlight w:val="none"/>
          <w:lang w:val="en-US" w:eastAsia="zh-CN"/>
        </w:rPr>
        <w:t>，须提供相应的检测报告或证明文件。</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color w:val="auto"/>
          <w:spacing w:val="0"/>
          <w:sz w:val="28"/>
          <w:szCs w:val="28"/>
          <w:highlight w:val="none"/>
          <w:shd w:val="clear" w:color="auto" w:fill="FFFFFF"/>
        </w:rPr>
      </w:pPr>
      <w:r>
        <w:rPr>
          <w:rFonts w:hint="eastAsia" w:ascii="宋体" w:hAnsi="宋体" w:eastAsia="宋体" w:cs="宋体"/>
          <w:i w:val="0"/>
          <w:iCs w:val="0"/>
          <w:caps w:val="0"/>
          <w:color w:val="auto"/>
          <w:spacing w:val="0"/>
          <w:sz w:val="28"/>
          <w:szCs w:val="28"/>
          <w:highlight w:val="none"/>
          <w:shd w:val="clear" w:color="auto" w:fill="FFFFFF"/>
        </w:rPr>
        <w:t>绝缘与护套类型：</w:t>
      </w:r>
      <w:r>
        <w:rPr>
          <w:rFonts w:hint="eastAsia" w:ascii="宋体" w:hAnsi="宋体" w:eastAsia="宋体" w:cs="宋体"/>
          <w:i w:val="0"/>
          <w:iCs w:val="0"/>
          <w:caps w:val="0"/>
          <w:color w:val="auto"/>
          <w:spacing w:val="0"/>
          <w:kern w:val="2"/>
          <w:sz w:val="28"/>
          <w:szCs w:val="28"/>
          <w:highlight w:val="none"/>
          <w:shd w:val="clear" w:color="auto" w:fill="FFFFFF"/>
          <w:lang w:val="en-US" w:eastAsia="zh-CN" w:bidi="ar-SA"/>
        </w:rPr>
        <w:t>交联聚乙烯（XLPE）绝缘，钢带铠装（YJV22 型），PVC 外护套，直埋敷设时依靠钢带铠装提升机械防护能力</w:t>
      </w:r>
      <w:r>
        <w:rPr>
          <w:rFonts w:hint="eastAsia" w:ascii="宋体" w:hAnsi="宋体" w:eastAsia="宋体" w:cs="宋体"/>
          <w:i w:val="0"/>
          <w:iCs w:val="0"/>
          <w:caps w:val="0"/>
          <w:color w:val="auto"/>
          <w:spacing w:val="0"/>
          <w:sz w:val="28"/>
          <w:szCs w:val="28"/>
          <w:highlight w:val="none"/>
          <w:shd w:val="clear" w:color="auto" w:fill="FFFFFF"/>
        </w:rPr>
        <w:t>。</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color w:val="auto"/>
          <w:spacing w:val="0"/>
          <w:sz w:val="28"/>
          <w:szCs w:val="28"/>
          <w:highlight w:val="none"/>
          <w:shd w:val="clear" w:color="auto" w:fill="FFFFFF"/>
          <w:lang w:eastAsia="zh-CN"/>
        </w:rPr>
      </w:pPr>
      <w:r>
        <w:rPr>
          <w:rFonts w:hint="eastAsia" w:ascii="宋体" w:hAnsi="宋体" w:eastAsia="宋体" w:cs="宋体"/>
          <w:i w:val="0"/>
          <w:iCs w:val="0"/>
          <w:caps w:val="0"/>
          <w:color w:val="auto"/>
          <w:spacing w:val="0"/>
          <w:sz w:val="28"/>
          <w:szCs w:val="28"/>
          <w:highlight w:val="none"/>
          <w:shd w:val="clear" w:color="auto" w:fill="FFFFFF"/>
        </w:rPr>
        <w:t>截面选择：</w:t>
      </w:r>
      <w:r>
        <w:rPr>
          <w:rFonts w:hint="eastAsia" w:ascii="宋体" w:hAnsi="宋体" w:eastAsia="宋体" w:cs="宋体"/>
          <w:i w:val="0"/>
          <w:iCs w:val="0"/>
          <w:caps w:val="0"/>
          <w:color w:val="auto"/>
          <w:spacing w:val="0"/>
          <w:kern w:val="2"/>
          <w:sz w:val="28"/>
          <w:szCs w:val="28"/>
          <w:highlight w:val="none"/>
          <w:shd w:val="clear" w:color="auto" w:fill="FFFFFF"/>
          <w:lang w:val="en-US" w:eastAsia="zh-CN" w:bidi="ar-SA"/>
        </w:rPr>
        <w:t>据负荷电流、电压降和短路热稳定校验确定，无需放大截面，按计算值直接选用标准铜芯电缆截面。</w:t>
      </w:r>
    </w:p>
    <w:p>
      <w:pPr>
        <w:keepNext w:val="0"/>
        <w:keepLines w:val="0"/>
        <w:widowControl/>
        <w:numPr>
          <w:ilvl w:val="0"/>
          <w:numId w:val="0"/>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rPr>
      </w:pPr>
      <w:r>
        <w:rPr>
          <w:rFonts w:hint="eastAsia" w:ascii="宋体" w:hAnsi="宋体" w:cs="宋体"/>
          <w:i w:val="0"/>
          <w:iCs w:val="0"/>
          <w:caps w:val="0"/>
          <w:spacing w:val="0"/>
          <w:sz w:val="28"/>
          <w:szCs w:val="28"/>
          <w:highlight w:val="none"/>
          <w:shd w:val="clear" w:color="auto" w:fill="FFFFFF"/>
          <w:lang w:val="en-US" w:eastAsia="zh-CN"/>
        </w:rPr>
        <w:t>2、</w:t>
      </w:r>
      <w:r>
        <w:rPr>
          <w:rFonts w:hint="eastAsia" w:ascii="宋体" w:hAnsi="宋体" w:eastAsia="宋体" w:cs="宋体"/>
          <w:i w:val="0"/>
          <w:iCs w:val="0"/>
          <w:caps w:val="0"/>
          <w:spacing w:val="0"/>
          <w:sz w:val="28"/>
          <w:szCs w:val="28"/>
          <w:highlight w:val="none"/>
          <w:shd w:val="clear" w:color="auto" w:fill="FFFFFF"/>
        </w:rPr>
        <w:t>电气性能</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lang w:eastAsia="zh-CN"/>
        </w:rPr>
      </w:pPr>
      <w:r>
        <w:rPr>
          <w:rFonts w:hint="eastAsia" w:ascii="宋体" w:hAnsi="宋体" w:eastAsia="宋体" w:cs="宋体"/>
          <w:i w:val="0"/>
          <w:iCs w:val="0"/>
          <w:caps w:val="0"/>
          <w:spacing w:val="0"/>
          <w:sz w:val="28"/>
          <w:szCs w:val="28"/>
          <w:highlight w:val="none"/>
          <w:shd w:val="clear" w:color="auto" w:fill="FFFFFF"/>
        </w:rPr>
        <w:t>载流量：电缆载流量应满足最大负荷电流要求，并留有一定余量（一般1.2倍），需考虑敷设方式（如埋地、穿管、桥架）对载流量的折减系数。直埋敷设时载流量需乘以0.7-0.9的折减系数</w:t>
      </w:r>
      <w:r>
        <w:rPr>
          <w:rFonts w:hint="eastAsia" w:ascii="宋体" w:hAnsi="宋体" w:cs="宋体"/>
          <w:i w:val="0"/>
          <w:iCs w:val="0"/>
          <w:caps w:val="0"/>
          <w:spacing w:val="0"/>
          <w:sz w:val="28"/>
          <w:szCs w:val="28"/>
          <w:highlight w:val="none"/>
          <w:shd w:val="clear" w:color="auto" w:fill="FFFFFF"/>
          <w:lang w:eastAsia="zh-CN"/>
        </w:rPr>
        <w:t>。</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电压降：线路电压降应≤5%，需通过计算确保末端电压满足箱变设备运行要求。</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短路热稳定：电缆截面需满足短路电流通过时的热稳定要求，按GB 50054-2011《低压配电设计规范》或GB 50217《电力工程电缆设计标准》进行校验。</w:t>
      </w:r>
    </w:p>
    <w:p>
      <w:pPr>
        <w:keepNext w:val="0"/>
        <w:keepLines w:val="0"/>
        <w:widowControl/>
        <w:numPr>
          <w:ilvl w:val="0"/>
          <w:numId w:val="0"/>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rPr>
      </w:pPr>
      <w:r>
        <w:rPr>
          <w:rFonts w:hint="eastAsia" w:ascii="宋体" w:hAnsi="宋体" w:cs="宋体"/>
          <w:i w:val="0"/>
          <w:iCs w:val="0"/>
          <w:caps w:val="0"/>
          <w:spacing w:val="0"/>
          <w:sz w:val="28"/>
          <w:szCs w:val="28"/>
          <w:highlight w:val="none"/>
          <w:shd w:val="clear" w:color="auto" w:fill="FFFFFF"/>
          <w:lang w:val="en-US" w:eastAsia="zh-CN"/>
        </w:rPr>
        <w:t>3、</w:t>
      </w:r>
      <w:r>
        <w:rPr>
          <w:rFonts w:hint="eastAsia" w:ascii="宋体" w:hAnsi="宋体" w:eastAsia="宋体" w:cs="宋体"/>
          <w:i w:val="0"/>
          <w:iCs w:val="0"/>
          <w:caps w:val="0"/>
          <w:spacing w:val="0"/>
          <w:sz w:val="28"/>
          <w:szCs w:val="28"/>
          <w:highlight w:val="none"/>
          <w:shd w:val="clear" w:color="auto" w:fill="FFFFFF"/>
        </w:rPr>
        <w:t>机械性能</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弯曲半径：</w:t>
      </w:r>
      <w:r>
        <w:rPr>
          <w:rFonts w:hint="eastAsia" w:ascii="宋体" w:hAnsi="宋体" w:eastAsia="宋体" w:cs="宋体"/>
          <w:i w:val="0"/>
          <w:iCs w:val="0"/>
          <w:caps w:val="0"/>
          <w:spacing w:val="0"/>
          <w:kern w:val="2"/>
          <w:sz w:val="28"/>
          <w:szCs w:val="28"/>
          <w:highlight w:val="none"/>
          <w:shd w:val="clear" w:color="auto" w:fill="FFFFFF"/>
          <w:lang w:val="en-US" w:eastAsia="zh-CN" w:bidi="ar-SA"/>
        </w:rPr>
        <w:t>电缆最小弯曲半径不小于电缆外径的 15 倍，敷设、转弯施工严禁小于该限值，防止绝缘、铠装受损。</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抗拉强度：</w:t>
      </w:r>
      <w:r>
        <w:rPr>
          <w:rFonts w:hint="eastAsia" w:ascii="宋体" w:hAnsi="宋体" w:eastAsia="宋体" w:cs="宋体"/>
          <w:i w:val="0"/>
          <w:iCs w:val="0"/>
          <w:caps w:val="0"/>
          <w:spacing w:val="0"/>
          <w:kern w:val="2"/>
          <w:sz w:val="28"/>
          <w:szCs w:val="28"/>
          <w:highlight w:val="none"/>
          <w:shd w:val="clear" w:color="auto" w:fill="FFFFFF"/>
          <w:lang w:val="en-US" w:eastAsia="zh-CN" w:bidi="ar-SA"/>
        </w:rPr>
        <w:t>电缆具备充足抗拉承载力，可承受直埋、长距离拖拽敷设施工拉力，敷设完成后无导体断丝、护套开裂破损现象。</w:t>
      </w:r>
    </w:p>
    <w:p>
      <w:pPr>
        <w:keepNext w:val="0"/>
        <w:keepLines w:val="0"/>
        <w:widowControl/>
        <w:numPr>
          <w:ilvl w:val="0"/>
          <w:numId w:val="0"/>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rPr>
      </w:pPr>
      <w:r>
        <w:rPr>
          <w:rFonts w:hint="eastAsia" w:ascii="宋体" w:hAnsi="宋体" w:cs="宋体"/>
          <w:i w:val="0"/>
          <w:iCs w:val="0"/>
          <w:caps w:val="0"/>
          <w:spacing w:val="0"/>
          <w:sz w:val="28"/>
          <w:szCs w:val="28"/>
          <w:highlight w:val="none"/>
          <w:shd w:val="clear" w:color="auto" w:fill="FFFFFF"/>
          <w:lang w:val="en-US" w:eastAsia="zh-CN"/>
        </w:rPr>
        <w:t>4、</w:t>
      </w:r>
      <w:r>
        <w:rPr>
          <w:rFonts w:hint="eastAsia" w:ascii="宋体" w:hAnsi="宋体" w:eastAsia="宋体" w:cs="宋体"/>
          <w:i w:val="0"/>
          <w:iCs w:val="0"/>
          <w:caps w:val="0"/>
          <w:spacing w:val="0"/>
          <w:sz w:val="28"/>
          <w:szCs w:val="28"/>
          <w:highlight w:val="none"/>
          <w:shd w:val="clear" w:color="auto" w:fill="FFFFFF"/>
        </w:rPr>
        <w:t>敷设要求</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敷设方式：可采用直埋、穿管、桥架或电缆沟敷设。直埋时，电缆埋深一般不小于0.7m，需设置保护板或警示带；穿管时，管内径应不小于电缆外径的1.5倍；桥架或电缆沟敷设时，应确保电缆排列整齐，避免交叉和挤压。</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防火与防护：在电缆沟、电缆井等场所，需设置防火隔板、阻火模块等防火措施，电缆外护套应具备阻燃性能（如阻燃B类及以上）。</w:t>
      </w:r>
    </w:p>
    <w:p>
      <w:pPr>
        <w:keepNext w:val="0"/>
        <w:keepLines w:val="0"/>
        <w:widowControl/>
        <w:numPr>
          <w:ilvl w:val="0"/>
          <w:numId w:val="0"/>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lang w:val="en-US" w:eastAsia="zh-CN"/>
        </w:rPr>
        <w:t>5、</w:t>
      </w:r>
      <w:r>
        <w:rPr>
          <w:rFonts w:hint="eastAsia" w:ascii="宋体" w:hAnsi="宋体" w:eastAsia="宋体" w:cs="宋体"/>
          <w:i w:val="0"/>
          <w:iCs w:val="0"/>
          <w:caps w:val="0"/>
          <w:spacing w:val="0"/>
          <w:sz w:val="28"/>
          <w:szCs w:val="28"/>
          <w:highlight w:val="none"/>
          <w:shd w:val="clear" w:color="auto" w:fill="FFFFFF"/>
        </w:rPr>
        <w:t>接地与屏蔽</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接地：多芯电缆钢带铠装层全线连续贯通，电缆两端可靠接地；存在电磁干扰的场所可选用带金属屏蔽结构电缆，屏蔽层完整接地，抑制电磁干扰。</w:t>
      </w:r>
    </w:p>
    <w:p>
      <w:pPr>
        <w:keepNext w:val="0"/>
        <w:keepLines w:val="0"/>
        <w:widowControl/>
        <w:numPr>
          <w:ilvl w:val="0"/>
          <w:numId w:val="0"/>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lang w:val="en-US" w:eastAsia="zh-CN"/>
        </w:rPr>
        <w:t>6、</w:t>
      </w:r>
      <w:r>
        <w:rPr>
          <w:rFonts w:hint="eastAsia" w:ascii="宋体" w:hAnsi="宋体" w:eastAsia="宋体" w:cs="宋体"/>
          <w:i w:val="0"/>
          <w:iCs w:val="0"/>
          <w:caps w:val="0"/>
          <w:spacing w:val="0"/>
          <w:sz w:val="28"/>
          <w:szCs w:val="28"/>
          <w:highlight w:val="none"/>
          <w:shd w:val="clear" w:color="auto" w:fill="FFFFFF"/>
        </w:rPr>
        <w:t>标识与文档</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标识：电缆两端及中间接头处应设置清晰的标识牌，注明电缆编号、规格、电压等级、起止点等信息。</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color w:val="auto"/>
          <w:spacing w:val="0"/>
          <w:sz w:val="28"/>
          <w:szCs w:val="28"/>
          <w:highlight w:val="none"/>
          <w:shd w:val="clear" w:color="auto" w:fill="FFFFFF"/>
        </w:rPr>
      </w:pPr>
      <w:r>
        <w:rPr>
          <w:rFonts w:hint="eastAsia" w:ascii="宋体" w:hAnsi="宋体" w:eastAsia="宋体" w:cs="宋体"/>
          <w:i w:val="0"/>
          <w:iCs w:val="0"/>
          <w:caps w:val="0"/>
          <w:spacing w:val="0"/>
          <w:sz w:val="28"/>
          <w:szCs w:val="28"/>
          <w:highlight w:val="none"/>
          <w:shd w:val="clear" w:color="auto" w:fill="FFFFFF"/>
        </w:rPr>
        <w:t>文档：</w:t>
      </w:r>
      <w:r>
        <w:rPr>
          <w:rFonts w:hint="eastAsia" w:ascii="宋体" w:hAnsi="宋体" w:eastAsia="宋体" w:cs="宋体"/>
          <w:i w:val="0"/>
          <w:iCs w:val="0"/>
          <w:caps w:val="0"/>
          <w:spacing w:val="0"/>
          <w:sz w:val="28"/>
          <w:szCs w:val="28"/>
          <w:highlight w:val="none"/>
          <w:shd w:val="clear" w:color="auto" w:fill="FFFFFF"/>
          <w:lang w:val="en-US" w:eastAsia="zh-CN"/>
        </w:rPr>
        <w:t>合格证、</w:t>
      </w:r>
      <w:r>
        <w:rPr>
          <w:rFonts w:hint="eastAsia" w:ascii="宋体" w:hAnsi="宋体" w:eastAsia="宋体" w:cs="宋体"/>
          <w:i w:val="0"/>
          <w:iCs w:val="0"/>
          <w:caps w:val="0"/>
          <w:spacing w:val="0"/>
          <w:sz w:val="28"/>
          <w:szCs w:val="28"/>
          <w:highlight w:val="none"/>
          <w:shd w:val="clear" w:color="auto" w:fill="FFFFFF"/>
        </w:rPr>
        <w:t>试验报告等</w:t>
      </w:r>
      <w:r>
        <w:rPr>
          <w:rFonts w:hint="eastAsia" w:ascii="宋体" w:hAnsi="宋体" w:eastAsia="宋体" w:cs="宋体"/>
          <w:i w:val="0"/>
          <w:iCs w:val="0"/>
          <w:caps w:val="0"/>
          <w:spacing w:val="0"/>
          <w:sz w:val="28"/>
          <w:szCs w:val="28"/>
          <w:highlight w:val="none"/>
          <w:shd w:val="clear" w:color="auto" w:fill="FFFFFF"/>
          <w:lang w:val="en-US" w:eastAsia="zh-CN"/>
        </w:rPr>
        <w:t>相应资料齐全</w:t>
      </w:r>
      <w:r>
        <w:rPr>
          <w:rFonts w:hint="eastAsia" w:ascii="宋体" w:hAnsi="宋体" w:eastAsia="宋体" w:cs="宋体"/>
          <w:i w:val="0"/>
          <w:iCs w:val="0"/>
          <w:caps w:val="0"/>
          <w:spacing w:val="0"/>
          <w:sz w:val="28"/>
          <w:szCs w:val="28"/>
          <w:highlight w:val="none"/>
          <w:shd w:val="clear" w:color="auto" w:fill="FFFFFF"/>
        </w:rPr>
        <w:t>，确保电缆选型、敷设</w:t>
      </w:r>
      <w:r>
        <w:rPr>
          <w:rFonts w:hint="eastAsia" w:ascii="宋体" w:hAnsi="宋体" w:eastAsia="宋体" w:cs="宋体"/>
          <w:i w:val="0"/>
          <w:iCs w:val="0"/>
          <w:caps w:val="0"/>
          <w:color w:val="auto"/>
          <w:spacing w:val="0"/>
          <w:sz w:val="28"/>
          <w:szCs w:val="28"/>
          <w:highlight w:val="none"/>
          <w:shd w:val="clear" w:color="auto" w:fill="FFFFFF"/>
        </w:rPr>
        <w:t>和验收符合规范要求。</w:t>
      </w:r>
    </w:p>
    <w:p>
      <w:pPr>
        <w:keepNext w:val="0"/>
        <w:keepLines w:val="0"/>
        <w:widowControl/>
        <w:numPr>
          <w:ilvl w:val="0"/>
          <w:numId w:val="1"/>
        </w:numPr>
        <w:suppressLineNumbers w:val="0"/>
        <w:spacing w:before="0" w:beforeAutospacing="0" w:after="0" w:afterAutospacing="0"/>
        <w:ind w:right="0" w:rightChars="0"/>
        <w:rPr>
          <w:rFonts w:hint="eastAsia" w:ascii="宋体" w:hAnsi="宋体" w:eastAsia="宋体" w:cs="宋体"/>
          <w:i w:val="0"/>
          <w:iCs w:val="0"/>
          <w:caps w:val="0"/>
          <w:spacing w:val="0"/>
          <w:sz w:val="28"/>
          <w:szCs w:val="28"/>
          <w:highlight w:val="none"/>
          <w:shd w:val="clear" w:color="auto" w:fill="FFFFFF"/>
          <w:lang w:val="en-US" w:eastAsia="zh-CN"/>
        </w:rPr>
      </w:pPr>
      <w:r>
        <w:rPr>
          <w:rFonts w:hint="eastAsia" w:ascii="宋体" w:hAnsi="宋体" w:eastAsia="宋体" w:cs="宋体"/>
          <w:i w:val="0"/>
          <w:iCs w:val="0"/>
          <w:caps w:val="0"/>
          <w:spacing w:val="0"/>
          <w:sz w:val="28"/>
          <w:szCs w:val="28"/>
          <w:highlight w:val="none"/>
          <w:shd w:val="clear" w:color="auto" w:fill="FFFFFF"/>
          <w:lang w:val="en-US" w:eastAsia="zh-CN"/>
        </w:rPr>
        <w:t>商务要求</w:t>
      </w:r>
    </w:p>
    <w:p>
      <w:pPr>
        <w:keepNext w:val="0"/>
        <w:keepLines w:val="0"/>
        <w:widowControl/>
        <w:numPr>
          <w:ilvl w:val="0"/>
          <w:numId w:val="0"/>
        </w:numPr>
        <w:suppressLineNumbers w:val="0"/>
        <w:spacing w:before="0" w:beforeAutospacing="0" w:after="0" w:afterAutospacing="0"/>
        <w:ind w:right="0" w:rightChars="0" w:firstLine="560" w:firstLineChars="200"/>
        <w:rPr>
          <w:rFonts w:hint="eastAsia" w:ascii="宋体" w:hAnsi="宋体" w:eastAsia="宋体" w:cs="宋体"/>
          <w:i w:val="0"/>
          <w:iCs w:val="0"/>
          <w:caps w:val="0"/>
          <w:spacing w:val="0"/>
          <w:sz w:val="28"/>
          <w:szCs w:val="28"/>
          <w:highlight w:val="none"/>
          <w:shd w:val="clear" w:color="auto" w:fill="FFFFFF"/>
          <w:lang w:val="en-US" w:eastAsia="zh-CN"/>
        </w:rPr>
      </w:pPr>
      <w:r>
        <w:rPr>
          <w:rFonts w:hint="eastAsia" w:ascii="宋体" w:hAnsi="宋体" w:eastAsia="宋体" w:cs="宋体"/>
          <w:i w:val="0"/>
          <w:iCs w:val="0"/>
          <w:caps w:val="0"/>
          <w:spacing w:val="0"/>
          <w:sz w:val="28"/>
          <w:szCs w:val="28"/>
          <w:highlight w:val="none"/>
          <w:shd w:val="clear" w:color="auto" w:fill="FFFFFF"/>
        </w:rPr>
        <w:t>投标方的投标报价中应包括线缆的材料费、制作费、出库费、检测费、运费、卸</w:t>
      </w:r>
      <w:r>
        <w:rPr>
          <w:rFonts w:hint="eastAsia" w:ascii="宋体" w:hAnsi="宋体" w:eastAsia="宋体" w:cs="宋体"/>
          <w:i w:val="0"/>
          <w:iCs w:val="0"/>
          <w:caps w:val="0"/>
          <w:spacing w:val="0"/>
          <w:sz w:val="28"/>
          <w:szCs w:val="28"/>
          <w:highlight w:val="none"/>
          <w:shd w:val="clear" w:color="auto" w:fill="FFFFFF"/>
          <w:lang w:val="en-US" w:eastAsia="zh-CN"/>
        </w:rPr>
        <w:t>车</w:t>
      </w:r>
      <w:r>
        <w:rPr>
          <w:rFonts w:hint="eastAsia" w:ascii="宋体" w:hAnsi="宋体" w:eastAsia="宋体" w:cs="宋体"/>
          <w:i w:val="0"/>
          <w:iCs w:val="0"/>
          <w:caps w:val="0"/>
          <w:spacing w:val="0"/>
          <w:sz w:val="28"/>
          <w:szCs w:val="28"/>
          <w:highlight w:val="none"/>
          <w:shd w:val="clear" w:color="auto" w:fill="FFFFFF"/>
        </w:rPr>
        <w:t>费、税金、包装费、配合本工程施工单位对线缆安装调试和检测费用等投标方认为要发生的一切费用</w:t>
      </w:r>
      <w:r>
        <w:rPr>
          <w:rFonts w:hint="eastAsia" w:ascii="宋体" w:hAnsi="宋体" w:eastAsia="宋体" w:cs="宋体"/>
          <w:i w:val="0"/>
          <w:iCs w:val="0"/>
          <w:caps w:val="0"/>
          <w:spacing w:val="0"/>
          <w:sz w:val="28"/>
          <w:szCs w:val="28"/>
          <w:highlight w:val="none"/>
          <w:shd w:val="clear" w:color="auto" w:fill="FFFFFF"/>
          <w:lang w:eastAsia="zh-CN"/>
        </w:rPr>
        <w:t>。</w:t>
      </w:r>
    </w:p>
    <w:p>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交货地点：天津市</w:t>
      </w:r>
      <w:r>
        <w:rPr>
          <w:rFonts w:hint="eastAsia" w:ascii="宋体" w:hAnsi="宋体" w:eastAsia="宋体" w:cs="宋体"/>
          <w:color w:val="auto"/>
          <w:sz w:val="28"/>
          <w:szCs w:val="28"/>
          <w:highlight w:val="none"/>
          <w:lang w:val="en-US" w:eastAsia="zh-CN"/>
        </w:rPr>
        <w:t>临港经济区嘉陵江道801号</w:t>
      </w:r>
    </w:p>
    <w:p>
      <w:pPr>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交货期：合同签订后 XX 日历天</w:t>
      </w:r>
      <w:r>
        <w:rPr>
          <w:rFonts w:hint="eastAsia" w:ascii="宋体" w:hAnsi="宋体" w:eastAsia="宋体" w:cs="宋体"/>
          <w:color w:val="auto"/>
          <w:sz w:val="28"/>
          <w:szCs w:val="28"/>
          <w:highlight w:val="none"/>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0" w:beforeAutospacing="1" w:after="0" w:afterAutospacing="0"/>
        <w:ind w:right="0" w:firstLine="560" w:firstLineChars="200"/>
        <w:jc w:val="left"/>
        <w:rPr>
          <w:rFonts w:hint="eastAsia" w:ascii="宋体" w:hAnsi="宋体" w:eastAsia="宋体" w:cs="宋体"/>
          <w:i w:val="0"/>
          <w:iCs w:val="0"/>
          <w:caps w:val="0"/>
          <w:spacing w:val="0"/>
          <w:sz w:val="28"/>
          <w:szCs w:val="28"/>
          <w:highlight w:val="none"/>
        </w:rPr>
      </w:pPr>
      <w:r>
        <w:rPr>
          <w:rFonts w:hint="eastAsia" w:ascii="宋体" w:hAnsi="宋体" w:eastAsia="宋体" w:cs="宋体"/>
          <w:i w:val="0"/>
          <w:iCs w:val="0"/>
          <w:caps w:val="0"/>
          <w:spacing w:val="0"/>
          <w:sz w:val="28"/>
          <w:szCs w:val="28"/>
          <w:highlight w:val="none"/>
          <w:shd w:val="clear" w:color="auto" w:fill="FFFFFF"/>
          <w:lang w:val="en-US" w:eastAsia="zh-CN"/>
        </w:rPr>
        <w:t>最终结果必须满足</w:t>
      </w:r>
      <w:r>
        <w:rPr>
          <w:rFonts w:hint="eastAsia" w:ascii="宋体" w:hAnsi="宋体" w:eastAsia="宋体" w:cs="宋体"/>
          <w:i w:val="0"/>
          <w:iCs w:val="0"/>
          <w:caps w:val="0"/>
          <w:spacing w:val="0"/>
          <w:sz w:val="28"/>
          <w:szCs w:val="28"/>
          <w:highlight w:val="none"/>
          <w:shd w:val="clear" w:color="auto" w:fill="FFFFFF"/>
        </w:rPr>
        <w:t>当地电力部门的规定</w:t>
      </w:r>
      <w:r>
        <w:rPr>
          <w:rFonts w:hint="eastAsia" w:ascii="宋体" w:hAnsi="宋体" w:eastAsia="宋体" w:cs="宋体"/>
          <w:i w:val="0"/>
          <w:iCs w:val="0"/>
          <w:caps w:val="0"/>
          <w:spacing w:val="0"/>
          <w:sz w:val="28"/>
          <w:szCs w:val="28"/>
          <w:highlight w:val="none"/>
          <w:shd w:val="clear" w:color="auto" w:fill="FFFFFF"/>
          <w:lang w:eastAsia="zh-CN"/>
        </w:rPr>
        <w:t>，</w:t>
      </w:r>
      <w:r>
        <w:rPr>
          <w:rFonts w:hint="eastAsia" w:ascii="宋体" w:hAnsi="宋体" w:eastAsia="宋体" w:cs="宋体"/>
          <w:i w:val="0"/>
          <w:iCs w:val="0"/>
          <w:caps w:val="0"/>
          <w:spacing w:val="0"/>
          <w:sz w:val="28"/>
          <w:szCs w:val="28"/>
          <w:highlight w:val="none"/>
          <w:shd w:val="clear" w:color="auto" w:fill="FFFFFF"/>
          <w:lang w:val="en-US" w:eastAsia="zh-CN"/>
        </w:rPr>
        <w:t>并报验通过</w:t>
      </w:r>
      <w:r>
        <w:rPr>
          <w:rFonts w:hint="eastAsia" w:ascii="宋体" w:hAnsi="宋体" w:eastAsia="宋体" w:cs="宋体"/>
          <w:i w:val="0"/>
          <w:iCs w:val="0"/>
          <w:caps w:val="0"/>
          <w:spacing w:val="0"/>
          <w:sz w:val="28"/>
          <w:szCs w:val="28"/>
          <w:highlight w:val="none"/>
          <w:shd w:val="clear" w:color="auto" w:fill="FFFFFF"/>
        </w:rPr>
        <w:t>，确保电缆系统的安全、可靠运行。</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E0934"/>
    <w:multiLevelType w:val="singleLevel"/>
    <w:tmpl w:val="CDDE0934"/>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jY1ZDI5ZjIwMmZmYjgxNWRhMWUyM2NmYzQ2NmUifQ=="/>
  </w:docVars>
  <w:rsids>
    <w:rsidRoot w:val="326966D7"/>
    <w:rsid w:val="2B144E9C"/>
    <w:rsid w:val="326966D7"/>
    <w:rsid w:val="37F517AD"/>
    <w:rsid w:val="57494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1038</Words>
  <Characters>1107</Characters>
  <Lines>0</Lines>
  <Paragraphs>0</Paragraphs>
  <TotalTime>14</TotalTime>
  <ScaleCrop>false</ScaleCrop>
  <LinksUpToDate>false</LinksUpToDate>
  <CharactersWithSpaces>1122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2026-07-13T07:22:00Z</dcterms:created>
  <dc:creator>@刘</dc:creator>
  <cp:lastModifiedBy>@刘</cp:lastModifiedBy>
  <dcterms:modified xsi:type="dcterms:W3CDTF">2026-07-29T08:12:10Z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0964BD33746A4167842AA6EA7F7A4D69</vt:lpwstr>
  </property>
  <property fmtid="{D5CDD505-2E9C-101B-9397-08002B2CF9AE}" pid="4" name="KSOTemplateDocerSaveRecord">
    <vt:lpwstr>eyJoZGlkIjoiMjk5Njk0NDE5MzliZGU4MjNkYzQ1N2ZjMDg3ZDM3OGUiLCJ1c2VySWQiOiI3NzAxMzk4MTYifQ==</vt:lpwstr>
  </property>
</Properties>
</file>